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8754" w14:textId="79F49C20" w:rsidR="00AD22EB" w:rsidRPr="00AD22EB" w:rsidRDefault="00AD22EB" w:rsidP="00AD22EB">
      <w:pPr>
        <w:ind w:firstLine="567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AD22EB">
        <w:rPr>
          <w:rFonts w:cstheme="minorHAnsi"/>
          <w:b/>
          <w:bCs/>
          <w:color w:val="000000"/>
          <w:shd w:val="clear" w:color="auto" w:fill="FFFFFF"/>
        </w:rPr>
        <w:t>TEXTO 1</w:t>
      </w:r>
    </w:p>
    <w:p w14:paraId="4807F7CB" w14:textId="340E032F" w:rsidR="00AD22EB" w:rsidRPr="00AD22EB" w:rsidRDefault="00AD22EB" w:rsidP="00AD22EB">
      <w:pPr>
        <w:ind w:firstLine="567"/>
        <w:jc w:val="both"/>
        <w:rPr>
          <w:rFonts w:cstheme="minorHAnsi"/>
          <w:color w:val="000000"/>
          <w:shd w:val="clear" w:color="auto" w:fill="FFFFFF"/>
        </w:rPr>
      </w:pPr>
      <w:r w:rsidRPr="00AD22EB">
        <w:rPr>
          <w:rFonts w:cstheme="minorHAnsi"/>
          <w:color w:val="000000"/>
          <w:shd w:val="clear" w:color="auto" w:fill="FFFFFF"/>
        </w:rPr>
        <w:t>De las cosas que existen, algunas existen </w:t>
      </w:r>
      <w:r w:rsidRPr="00AD22EB">
        <w:rPr>
          <w:rFonts w:cstheme="minorHAnsi"/>
          <w:color w:val="000000"/>
        </w:rPr>
        <w:t>por naturaleza</w:t>
      </w:r>
      <w:r w:rsidRPr="00AD22EB">
        <w:rPr>
          <w:rFonts w:cstheme="minorHAnsi"/>
          <w:color w:val="000000"/>
          <w:shd w:val="clear" w:color="auto" w:fill="FFFFFF"/>
        </w:rPr>
        <w:t>, otras por otras causas. Por naturaleza, los animales y sus partes, las plantas y los cuerpos simples, como la tierra, el fuego, el aire, el agua; de éstos, en efecto, y de otros parecidos decimos que existen por naturaleza. Todas estas cosas mencionadas presentan una gran diferencia respecto de las cosas no constituidas por naturaleza. En efecto,</w:t>
      </w:r>
      <w:r w:rsidRPr="00AD22EB">
        <w:rPr>
          <w:rFonts w:cstheme="minorHAnsi"/>
          <w:color w:val="000000"/>
          <w:u w:val="single"/>
        </w:rPr>
        <w:t> </w:t>
      </w:r>
      <w:r w:rsidRPr="00AD22EB">
        <w:rPr>
          <w:rFonts w:cstheme="minorHAnsi"/>
          <w:color w:val="000000"/>
        </w:rPr>
        <w:t>las cosas naturales tienen en sí mismas el principio de movimiento y de reposo</w:t>
      </w:r>
      <w:r w:rsidRPr="00AD22EB">
        <w:rPr>
          <w:rFonts w:cstheme="minorHAnsi"/>
          <w:color w:val="000000"/>
          <w:shd w:val="clear" w:color="auto" w:fill="FFFFFF"/>
        </w:rPr>
        <w:t>, unas en cuanto al lugar, otras en cuanto al crecimiento, otras en cuanto a la alteración. En cambio, un lecho, un vestido, y cualquier objeto de esa clase, en cuanto que recibe tales designaciones, es decir, en el grado en que son producto del arte, no tienen ningún impulso natural al movimiento; pero en cuanto de hecho constan de piedra, o de madera, o de cualquier mezcla o combinación de ellas, y bajo ese respecto tienen tal impulso al movimiento; pues la naturaleza es un principio y causa del movimiento y de reposo en la cosa en la que ella se halla, inmediatamente, por sí misma, y no por accidente.</w:t>
      </w:r>
    </w:p>
    <w:p w14:paraId="2179C1DF" w14:textId="7A2EE641" w:rsidR="00AD22EB" w:rsidRDefault="00AD22EB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14:paraId="74444AC4" w14:textId="77777777" w:rsidR="0081450E" w:rsidRDefault="0081450E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14:paraId="2DDACEB7" w14:textId="3E391DAB" w:rsidR="00AD22EB" w:rsidRDefault="00AD22EB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14:paraId="30340522" w14:textId="79E399A1" w:rsidR="00AD22EB" w:rsidRPr="00AD22EB" w:rsidRDefault="00AD22EB">
      <w:pPr>
        <w:rPr>
          <w:rFonts w:cstheme="minorHAnsi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  <w:r w:rsidRPr="00AD22EB">
        <w:rPr>
          <w:rFonts w:cstheme="minorHAnsi"/>
          <w:b/>
          <w:bCs/>
          <w:color w:val="000000"/>
          <w:shd w:val="clear" w:color="auto" w:fill="FFFFFF"/>
        </w:rPr>
        <w:t>TEXTO</w:t>
      </w:r>
      <w:r w:rsidRPr="00AD22EB">
        <w:rPr>
          <w:rFonts w:cstheme="minorHAnsi"/>
          <w:color w:val="000000"/>
          <w:shd w:val="clear" w:color="auto" w:fill="FFFFFF"/>
        </w:rPr>
        <w:t xml:space="preserve"> </w:t>
      </w:r>
      <w:r w:rsidRPr="00AD22EB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7E899AA8" w14:textId="2B89A210" w:rsidR="00AD22EB" w:rsidRDefault="00AD22EB" w:rsidP="00AD22EB">
      <w:pPr>
        <w:ind w:firstLine="567"/>
        <w:jc w:val="both"/>
      </w:pPr>
      <w:r>
        <w:t xml:space="preserve">Hechas estas distinciones, tenemos que examinar las causas, cuáles y cuántas son. Puesto que el objeto de esta investigación es el conocer y no creemos conocer algo si antes no hemos establecido en cada caso el “porqué” (lo cual significa captar la causa primera), es evidente que tendremos que examinar cuanto se refiere a la generación y la destrucción y a todo cambio natural, a fin de que, conociendo sus principios, podamos intentar referir a ellos cada una de nuestras investigaciones. En este sentido se dice que es causa (1) aquel constitutivo interno de lo que algo está hecho, </w:t>
      </w:r>
      <w:proofErr w:type="gramStart"/>
      <w:r>
        <w:t>como</w:t>
      </w:r>
      <w:proofErr w:type="gramEnd"/>
      <w:r>
        <w:t xml:space="preserve"> por ejemplo, el bronce respecto de la estatua o la plata respecto de la copa, y los géneros del bronce o de la plata. En otro sentido (2) es la forma o el modelo, esto es, la definición de la esencia y sus géneros (como la causa de una octava es la relación del dos al uno, y en general el número), y las partes de la definición. En otro sentido (3) es el principio primero de donde proviene el cambio o el reposo, como el que quiere algo es causa, como es también causa el padre respecto de su hijo, y en general el que hace respecto de lo hecho, y lo que hace cambiar algo respecto de lo cambiado. Y en otro sentido (4) causa es el fin, esto es, aquello para lo cual es algo, por ejemplo, el pasear respecto de la salud. Pues ¿por qué paseamos? A lo que respondemos: para estar sanos, y al decir esto creemos haber indicado la causa. Y también cualquier cosa que, siendo movida por otra cosa, llega a ser un medio respecto del fin, como el adelgazar, la purgación, los fármacos y los instrumentos quirúrgicos llegan a ser medios con respecto a la salud. Todas estas cosas son para un fin, y se diferencian entre sí en que unas son actividades y </w:t>
      </w:r>
      <w:proofErr w:type="gramStart"/>
      <w:r>
        <w:t>otras instrumentos</w:t>
      </w:r>
      <w:proofErr w:type="gramEnd"/>
      <w:r>
        <w:t>.</w:t>
      </w:r>
    </w:p>
    <w:p w14:paraId="5A1AFAEE" w14:textId="5819625D" w:rsidR="00AD22EB" w:rsidRDefault="00AD22EB" w:rsidP="00AD22EB">
      <w:pPr>
        <w:ind w:firstLine="567"/>
        <w:jc w:val="both"/>
      </w:pPr>
    </w:p>
    <w:p w14:paraId="60DF64D2" w14:textId="752BC0BA" w:rsidR="00AD22EB" w:rsidRDefault="00AD22EB" w:rsidP="00AD22EB">
      <w:pPr>
        <w:ind w:firstLine="567"/>
        <w:jc w:val="both"/>
      </w:pPr>
    </w:p>
    <w:p w14:paraId="45DA5A19" w14:textId="7E0AFAE2" w:rsidR="00AD22EB" w:rsidRDefault="00AD22EB" w:rsidP="00AD22EB">
      <w:pPr>
        <w:ind w:firstLine="567"/>
        <w:jc w:val="both"/>
      </w:pPr>
      <w:r>
        <w:t>Aristóteles. Física</w:t>
      </w:r>
    </w:p>
    <w:sectPr w:rsidR="00AD2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EB"/>
    <w:rsid w:val="0081450E"/>
    <w:rsid w:val="00A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1F91"/>
  <w15:chartTrackingRefBased/>
  <w15:docId w15:val="{9A5448A9-25CB-4E33-B961-3AA140AC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URRESTI GONZALEZ</dc:creator>
  <cp:keywords/>
  <dc:description/>
  <cp:lastModifiedBy>Usuario</cp:lastModifiedBy>
  <cp:revision>2</cp:revision>
  <cp:lastPrinted>2022-11-04T07:08:00Z</cp:lastPrinted>
  <dcterms:created xsi:type="dcterms:W3CDTF">2022-11-03T22:39:00Z</dcterms:created>
  <dcterms:modified xsi:type="dcterms:W3CDTF">2022-11-04T07:13:00Z</dcterms:modified>
</cp:coreProperties>
</file>